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b/>
          <w:bCs/>
          <w:sz w:val="32"/>
          <w:szCs w:val="32"/>
        </w:rPr>
      </w:pPr>
      <w:r>
        <w:rPr>
          <w:rFonts w:hint="eastAsia" w:ascii="仿宋" w:hAnsi="仿宋" w:eastAsia="仿宋" w:cs="仿宋"/>
          <w:b/>
          <w:bCs/>
          <w:sz w:val="32"/>
          <w:szCs w:val="32"/>
        </w:rPr>
        <w:t>海牙會議亞太周圓滿閉幕 嘉賓雲集為香港法治撐場</w:t>
      </w:r>
    </w:p>
    <w:p>
      <w:pPr>
        <w:rPr>
          <w:rFonts w:hint="eastAsia" w:ascii="仿宋" w:hAnsi="仿宋" w:eastAsia="仿宋" w:cs="仿宋"/>
          <w:sz w:val="28"/>
          <w:szCs w:val="28"/>
        </w:rPr>
      </w:pPr>
    </w:p>
    <w:p>
      <w:pPr>
        <w:ind w:firstLine="420" w:firstLineChars="0"/>
        <w:rPr>
          <w:rFonts w:hint="eastAsia" w:ascii="仿宋" w:hAnsi="仿宋" w:eastAsia="仿宋" w:cs="仿宋"/>
          <w:sz w:val="28"/>
          <w:szCs w:val="28"/>
        </w:rPr>
      </w:pPr>
      <w:r>
        <w:rPr>
          <w:rFonts w:hint="eastAsia" w:ascii="仿宋" w:hAnsi="仿宋" w:eastAsia="仿宋" w:cs="仿宋"/>
          <w:sz w:val="28"/>
          <w:szCs w:val="28"/>
        </w:rPr>
        <w:t>海牙國際私法會議（海牙會議/HCCH）2023年亞太周於9月14日</w:t>
      </w:r>
      <w:r>
        <w:rPr>
          <w:rFonts w:hint="eastAsia" w:ascii="仿宋" w:hAnsi="仿宋" w:eastAsia="仿宋" w:cs="仿宋"/>
          <w:sz w:val="28"/>
          <w:szCs w:val="28"/>
          <w:lang w:val="en-US" w:eastAsia="zh-Hans"/>
        </w:rPr>
        <w:t>晚</w:t>
      </w:r>
      <w:r>
        <w:rPr>
          <w:rFonts w:hint="eastAsia" w:ascii="仿宋" w:hAnsi="仿宋" w:eastAsia="仿宋" w:cs="仿宋"/>
          <w:sz w:val="28"/>
          <w:szCs w:val="28"/>
        </w:rPr>
        <w:t>圓滿閉幕。中華人民共和國香港特別行政區行政長官李家超、中華人民共和國外交部部長助理華春瑩、外交部駐香港特別行政區特派員公署署理特派員潘雲東、香港特區終審法院首席法官張舉能、香港特區立法會主席梁君彥、香港特區律政司司長林定國、香港大學校長張翔、海牙國際私法會議秘書長貝納斯科尼（Christophe Bernasconi）等貴賓出席亞太周並致辭，為香港法治投下信任票。</w:t>
      </w:r>
    </w:p>
    <w:p>
      <w:pPr>
        <w:ind w:firstLine="420" w:firstLineChars="0"/>
        <w:rPr>
          <w:rFonts w:hint="eastAsia" w:ascii="仿宋" w:hAnsi="仿宋" w:eastAsia="仿宋" w:cs="仿宋"/>
          <w:sz w:val="28"/>
          <w:szCs w:val="28"/>
        </w:rPr>
      </w:pPr>
      <w:r>
        <w:rPr>
          <w:rFonts w:hint="eastAsia" w:ascii="仿宋" w:hAnsi="仿宋" w:eastAsia="仿宋" w:cs="仿宋"/>
          <w:sz w:val="28"/>
          <w:szCs w:val="28"/>
        </w:rPr>
        <w:t>此次國際法學盛會主題為「司法公正與可持續發展之路：HCCH在互聯互通世界中的影響力」，吸引了來自全球各地的三百余名政府官員、外交人員、專家學者、法律從業者與持份者代表現場參加。線上參與人數超過千人。</w:t>
      </w:r>
    </w:p>
    <w:p>
      <w:pPr>
        <w:ind w:firstLine="420" w:firstLineChars="0"/>
        <w:rPr>
          <w:rFonts w:hint="eastAsia" w:ascii="仿宋" w:hAnsi="仿宋" w:eastAsia="仿宋" w:cs="仿宋"/>
          <w:sz w:val="28"/>
          <w:szCs w:val="28"/>
        </w:rPr>
      </w:pPr>
      <w:r>
        <w:rPr>
          <w:rFonts w:hint="eastAsia" w:ascii="仿宋" w:hAnsi="仿宋" w:eastAsia="仿宋" w:cs="仿宋"/>
          <w:sz w:val="28"/>
          <w:szCs w:val="28"/>
        </w:rPr>
        <w:t>李家超在致辭中表示，本次亞太周是香港疫情後首次現場舉辦如此大規模的法律專業會議。「一國兩製」下的香港，擁有健全且被國際公認的法律體系，香港的司法公正和法治精神讓香港當之無愧成為國際金融、貿易、航運和法律服務中心，同時香港也是連接國家與世界其他地區的橋梁。香港建成國際法律中心，對大灣區在全球範圍內引領科技創新尤為重要。香港設有亞太區域唯一的HCCH區域辦事處，特區政府非常自豪，並將繼續支持HCCH有關工作。</w:t>
      </w:r>
    </w:p>
    <w:p>
      <w:pPr>
        <w:ind w:firstLine="420" w:firstLineChars="0"/>
        <w:rPr>
          <w:rFonts w:hint="eastAsia" w:ascii="仿宋" w:hAnsi="仿宋" w:eastAsia="仿宋" w:cs="仿宋"/>
          <w:sz w:val="28"/>
          <w:szCs w:val="28"/>
        </w:rPr>
      </w:pPr>
      <w:r>
        <w:rPr>
          <w:rFonts w:hint="eastAsia" w:ascii="仿宋" w:hAnsi="仿宋" w:eastAsia="仿宋" w:cs="仿宋"/>
          <w:sz w:val="28"/>
          <w:szCs w:val="28"/>
        </w:rPr>
        <w:t>華春瑩在致辭中指出，促進互聯互通是「一帶一路」與HCCH的共同目標，中國也從HCCH的豐碩成果汲取營養，助力推動中國民商事法律發展。亞太區域辦事處是中國與HCCH共贏的有力例證。並提出三點建議：一、因應世界大勢，完善國際規則；二，堅持遵信守諾，提升履約效果；三、加強交流合作，促進包容互鑒。</w:t>
      </w:r>
    </w:p>
    <w:p>
      <w:pPr>
        <w:ind w:firstLine="420" w:firstLineChars="0"/>
        <w:rPr>
          <w:rFonts w:hint="eastAsia" w:ascii="仿宋" w:hAnsi="仿宋" w:eastAsia="仿宋" w:cs="仿宋"/>
          <w:sz w:val="28"/>
          <w:szCs w:val="28"/>
        </w:rPr>
      </w:pPr>
      <w:r>
        <w:rPr>
          <w:rFonts w:hint="eastAsia" w:ascii="仿宋" w:hAnsi="仿宋" w:eastAsia="仿宋" w:cs="仿宋"/>
          <w:sz w:val="28"/>
          <w:szCs w:val="28"/>
        </w:rPr>
        <w:t>華春瑩高度贊揚「一國兩製」在港實踐取得了舉世公認的成功，香港新憲製融合了普通法與內地成文法的優長，融匯了東方與西方的法律文化傳統，形成了香港獨特法律優勢，成為連接中華法系與世界各大法系，以及各國法治文明的橋梁和紐帶。她期盼香港法律界同仁擦亮香港「法治」金漆招牌，建設好「亞太區國際法律及解決爭議服務中心」，在國際金融、航運、貿易中心之外，為香港增添「法律中心」新桂冠。</w:t>
      </w:r>
    </w:p>
    <w:p>
      <w:pPr>
        <w:ind w:firstLine="420" w:firstLineChars="0"/>
        <w:rPr>
          <w:rFonts w:hint="eastAsia" w:ascii="仿宋" w:hAnsi="仿宋" w:eastAsia="仿宋" w:cs="仿宋"/>
          <w:sz w:val="28"/>
          <w:szCs w:val="28"/>
        </w:rPr>
      </w:pPr>
      <w:r>
        <w:rPr>
          <w:rFonts w:hint="eastAsia" w:ascii="仿宋" w:hAnsi="仿宋" w:eastAsia="仿宋" w:cs="仿宋"/>
          <w:sz w:val="28"/>
          <w:szCs w:val="28"/>
        </w:rPr>
        <w:t>林定國在致辭中指出，本次亞太周主題與香港法治願景不謀而合。香港與HCCH始終保持密切關系，8項海牙公約現適用於香港，香港自1997年起派專家作為中國代表團成員參會，2020年與HCCH簽訂了借調香港法律專業人員的備忘錄。香港律政司未來將繼續與HCCH緊密合作。</w:t>
      </w:r>
    </w:p>
    <w:p>
      <w:pPr>
        <w:ind w:firstLine="420" w:firstLineChars="0"/>
        <w:rPr>
          <w:rFonts w:hint="eastAsia" w:ascii="仿宋" w:hAnsi="仿宋" w:eastAsia="仿宋" w:cs="仿宋"/>
          <w:sz w:val="28"/>
          <w:szCs w:val="28"/>
        </w:rPr>
      </w:pPr>
      <w:r>
        <w:rPr>
          <w:rFonts w:hint="eastAsia" w:ascii="仿宋" w:hAnsi="仿宋" w:eastAsia="仿宋" w:cs="仿宋"/>
          <w:sz w:val="28"/>
          <w:szCs w:val="28"/>
        </w:rPr>
        <w:t>張翔感謝HCCH選擇港大舉辦亞太周，表示法治正是香港經濟運行和公共生活的「DNA」，贊揚「一國兩製」成功實踐。香港大學法律學院是香港歷史最悠久、亞洲最好的學院之一，未來將培養更多具有全球視野和專業精神的涉外法律人才。</w:t>
      </w:r>
    </w:p>
    <w:p>
      <w:pPr>
        <w:ind w:firstLine="420" w:firstLineChars="0"/>
        <w:rPr>
          <w:rFonts w:hint="eastAsia" w:ascii="仿宋" w:hAnsi="仿宋" w:eastAsia="仿宋" w:cs="仿宋"/>
          <w:sz w:val="28"/>
          <w:szCs w:val="28"/>
        </w:rPr>
      </w:pPr>
      <w:r>
        <w:rPr>
          <w:rFonts w:hint="eastAsia" w:ascii="仿宋" w:hAnsi="仿宋" w:eastAsia="仿宋" w:cs="仿宋"/>
          <w:sz w:val="28"/>
          <w:szCs w:val="28"/>
        </w:rPr>
        <w:t>HCCH秘書長貝納斯科尼感謝所有嘉賓參會，並感謝中華人民共和國，特別是香港特區律政司和香港大學法律學院的大力支持。秘書長對亞太區域辦事處的精心籌備表示高度嘉許，盛贊辦事處在中國中央政府與香港特區政府支持下對推廣海牙公約做出重大貢獻。並表示在包括區域辦事處在內的全員共同努力下，截至今年已有超過一千條海牙公約在各締約方生效，真正讓HCCH成為了一個值得信賴、兼容並包的多邊主義對話論壇。</w:t>
      </w:r>
    </w:p>
    <w:p>
      <w:pPr>
        <w:ind w:firstLine="420" w:firstLineChars="0"/>
        <w:rPr>
          <w:rFonts w:hint="eastAsia" w:ascii="仿宋" w:hAnsi="仿宋" w:eastAsia="仿宋" w:cs="仿宋"/>
          <w:sz w:val="28"/>
          <w:szCs w:val="28"/>
        </w:rPr>
      </w:pPr>
      <w:r>
        <w:rPr>
          <w:rFonts w:hint="eastAsia" w:ascii="仿宋" w:hAnsi="仿宋" w:eastAsia="仿宋" w:cs="仿宋"/>
          <w:sz w:val="28"/>
          <w:szCs w:val="28"/>
        </w:rPr>
        <w:t>此次亞太周在香港特區政府律政司和香港大學法律學院的慷慨支持下，由</w:t>
      </w:r>
      <w:r>
        <w:rPr>
          <w:rFonts w:hint="eastAsia" w:ascii="仿宋" w:hAnsi="仿宋" w:eastAsia="仿宋" w:cs="仿宋"/>
          <w:sz w:val="28"/>
          <w:szCs w:val="28"/>
          <w:lang w:val="en-US" w:eastAsia="zh-Hans"/>
        </w:rPr>
        <w:t>HCCH</w:t>
      </w:r>
      <w:r>
        <w:rPr>
          <w:rFonts w:hint="eastAsia" w:ascii="仿宋" w:hAnsi="仿宋" w:eastAsia="仿宋" w:cs="仿宋"/>
          <w:sz w:val="28"/>
          <w:szCs w:val="28"/>
        </w:rPr>
        <w:t>主辦，</w:t>
      </w:r>
      <w:r>
        <w:rPr>
          <w:rFonts w:hint="eastAsia" w:ascii="仿宋" w:hAnsi="仿宋" w:eastAsia="仿宋" w:cs="仿宋"/>
          <w:sz w:val="28"/>
          <w:szCs w:val="28"/>
          <w:lang w:val="en-US" w:eastAsia="zh-Hans"/>
        </w:rPr>
        <w:t>HCCH</w:t>
      </w:r>
      <w:r>
        <w:rPr>
          <w:rFonts w:hint="eastAsia" w:ascii="仿宋" w:hAnsi="仿宋" w:eastAsia="仿宋" w:cs="仿宋"/>
          <w:sz w:val="28"/>
          <w:szCs w:val="28"/>
        </w:rPr>
        <w:t>亞太區域辦事處（ROAP）承辦</w:t>
      </w:r>
      <w:r>
        <w:rPr>
          <w:rFonts w:hint="default" w:ascii="仿宋" w:hAnsi="仿宋" w:eastAsia="仿宋" w:cs="仿宋"/>
          <w:sz w:val="28"/>
          <w:szCs w:val="28"/>
        </w:rPr>
        <w:t>，</w:t>
      </w:r>
      <w:r>
        <w:rPr>
          <w:rFonts w:hint="eastAsia" w:ascii="仿宋" w:hAnsi="仿宋" w:eastAsia="仿宋" w:cs="仿宋"/>
          <w:sz w:val="28"/>
          <w:szCs w:val="28"/>
          <w:lang w:val="en-US" w:eastAsia="zh-Hans"/>
        </w:rPr>
        <w:t>會期為9月11日至9月14日</w:t>
      </w:r>
      <w:r>
        <w:rPr>
          <w:rFonts w:hint="eastAsia" w:ascii="仿宋" w:hAnsi="仿宋" w:eastAsia="仿宋" w:cs="仿宋"/>
          <w:sz w:val="28"/>
          <w:szCs w:val="28"/>
        </w:rPr>
        <w:t>。HCCH目前在全球設有兩所區域辦事處，亞太區域辦事處設在香港，現任代表為香港大學法律學院副院長趙雲教授。如欲獲取嘉賓演講全文及更多有用資料，請瀏覽https://www.hccha</w:t>
      </w:r>
      <w:bookmarkStart w:id="0" w:name="_GoBack"/>
      <w:bookmarkEnd w:id="0"/>
      <w:r>
        <w:rPr>
          <w:rFonts w:hint="eastAsia" w:ascii="仿宋" w:hAnsi="仿宋" w:eastAsia="仿宋" w:cs="仿宋"/>
          <w:sz w:val="28"/>
          <w:szCs w:val="28"/>
        </w:rPr>
        <w:t>pweek2023.org/</w:t>
      </w:r>
      <w:r>
        <w:rPr>
          <w:rFonts w:hint="eastAsia" w:ascii="仿宋" w:hAnsi="仿宋" w:eastAsia="仿宋" w:cs="仿宋"/>
          <w:sz w:val="28"/>
          <w:szCs w:val="28"/>
        </w:rPr>
        <w:br w:type="page"/>
      </w:r>
    </w:p>
    <w:p>
      <w:pPr>
        <w:jc w:val="center"/>
        <w:rPr>
          <w:rFonts w:hint="default" w:ascii="仿宋" w:hAnsi="仿宋" w:eastAsia="仿宋" w:cs="仿宋"/>
          <w:b/>
          <w:bCs/>
          <w:sz w:val="32"/>
          <w:szCs w:val="32"/>
          <w:lang w:val="en-US" w:eastAsia="zh-Hans"/>
        </w:rPr>
      </w:pPr>
      <w:r>
        <w:rPr>
          <w:rFonts w:hint="eastAsia" w:ascii="仿宋" w:hAnsi="仿宋" w:eastAsia="仿宋" w:cs="仿宋"/>
          <w:b/>
          <w:bCs/>
          <w:sz w:val="32"/>
          <w:szCs w:val="32"/>
        </w:rPr>
        <w:t>海牙会议亚太周</w:t>
      </w:r>
      <w:r>
        <w:rPr>
          <w:rFonts w:hint="eastAsia" w:ascii="仿宋" w:hAnsi="仿宋" w:eastAsia="仿宋" w:cs="仿宋"/>
          <w:b/>
          <w:bCs/>
          <w:sz w:val="32"/>
          <w:szCs w:val="32"/>
          <w:lang w:val="en-US" w:eastAsia="zh-Hans"/>
        </w:rPr>
        <w:t>圆满闭幕</w:t>
      </w:r>
      <w:r>
        <w:rPr>
          <w:rFonts w:hint="default" w:ascii="仿宋" w:hAnsi="仿宋" w:eastAsia="仿宋" w:cs="仿宋"/>
          <w:b/>
          <w:bCs/>
          <w:sz w:val="32"/>
          <w:szCs w:val="32"/>
          <w:lang w:eastAsia="zh-Hans"/>
        </w:rPr>
        <w:t xml:space="preserve"> </w:t>
      </w:r>
      <w:r>
        <w:rPr>
          <w:rFonts w:hint="eastAsia" w:ascii="仿宋" w:hAnsi="仿宋" w:eastAsia="仿宋" w:cs="仿宋"/>
          <w:b/>
          <w:bCs/>
          <w:sz w:val="32"/>
          <w:szCs w:val="32"/>
          <w:lang w:val="en-US" w:eastAsia="zh-Hans"/>
        </w:rPr>
        <w:t>嘉宾云集为香港法治撑场</w:t>
      </w:r>
    </w:p>
    <w:p>
      <w:pPr>
        <w:rPr>
          <w:rFonts w:hint="eastAsia" w:ascii="仿宋" w:hAnsi="仿宋" w:eastAsia="仿宋" w:cs="仿宋"/>
          <w:sz w:val="28"/>
          <w:szCs w:val="28"/>
        </w:rPr>
      </w:pPr>
    </w:p>
    <w:p>
      <w:pPr>
        <w:ind w:firstLine="560" w:firstLineChars="200"/>
        <w:rPr>
          <w:rFonts w:hint="eastAsia" w:ascii="仿宋" w:hAnsi="仿宋" w:eastAsia="仿宋" w:cs="仿宋"/>
          <w:sz w:val="28"/>
          <w:szCs w:val="28"/>
        </w:rPr>
      </w:pPr>
      <w:r>
        <w:rPr>
          <w:rFonts w:hint="eastAsia" w:ascii="仿宋" w:hAnsi="仿宋" w:eastAsia="仿宋" w:cs="仿宋"/>
          <w:sz w:val="28"/>
          <w:szCs w:val="28"/>
        </w:rPr>
        <w:t>海牙国际私法会议（</w:t>
      </w:r>
      <w:r>
        <w:rPr>
          <w:rFonts w:hint="eastAsia" w:ascii="仿宋" w:hAnsi="仿宋" w:eastAsia="仿宋" w:cs="仿宋"/>
          <w:sz w:val="28"/>
          <w:szCs w:val="28"/>
          <w:lang w:val="en-US" w:eastAsia="zh-Hans"/>
        </w:rPr>
        <w:t>海牙会议</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HCCH</w:t>
      </w:r>
      <w:r>
        <w:rPr>
          <w:rFonts w:hint="eastAsia" w:ascii="仿宋" w:hAnsi="仿宋" w:eastAsia="仿宋" w:cs="仿宋"/>
          <w:sz w:val="28"/>
          <w:szCs w:val="28"/>
        </w:rPr>
        <w:t>）2023年亚太周</w:t>
      </w:r>
      <w:r>
        <w:rPr>
          <w:rFonts w:hint="eastAsia" w:ascii="仿宋" w:hAnsi="仿宋" w:eastAsia="仿宋" w:cs="仿宋"/>
          <w:sz w:val="28"/>
          <w:szCs w:val="28"/>
          <w:lang w:val="en-US" w:eastAsia="zh-Hans"/>
        </w:rPr>
        <w:t>于</w:t>
      </w:r>
      <w:r>
        <w:rPr>
          <w:rFonts w:hint="eastAsia" w:ascii="仿宋" w:hAnsi="仿宋" w:eastAsia="仿宋" w:cs="仿宋"/>
          <w:sz w:val="28"/>
          <w:szCs w:val="28"/>
          <w:lang w:eastAsia="zh-Hans"/>
        </w:rPr>
        <w:t>9</w:t>
      </w:r>
      <w:r>
        <w:rPr>
          <w:rFonts w:hint="eastAsia" w:ascii="仿宋" w:hAnsi="仿宋" w:eastAsia="仿宋" w:cs="仿宋"/>
          <w:sz w:val="28"/>
          <w:szCs w:val="28"/>
          <w:lang w:val="en-US" w:eastAsia="zh-Hans"/>
        </w:rPr>
        <w:t>月</w:t>
      </w:r>
      <w:r>
        <w:rPr>
          <w:rFonts w:hint="eastAsia" w:ascii="仿宋" w:hAnsi="仿宋" w:eastAsia="仿宋" w:cs="仿宋"/>
          <w:sz w:val="28"/>
          <w:szCs w:val="28"/>
          <w:lang w:eastAsia="zh-Hans"/>
        </w:rPr>
        <w:t>1</w:t>
      </w:r>
      <w:r>
        <w:rPr>
          <w:rFonts w:hint="default" w:ascii="仿宋" w:hAnsi="仿宋" w:eastAsia="仿宋" w:cs="仿宋"/>
          <w:sz w:val="28"/>
          <w:szCs w:val="28"/>
          <w:lang w:eastAsia="zh-Hans"/>
        </w:rPr>
        <w:t>4</w:t>
      </w:r>
      <w:r>
        <w:rPr>
          <w:rFonts w:hint="eastAsia" w:ascii="仿宋" w:hAnsi="仿宋" w:eastAsia="仿宋" w:cs="仿宋"/>
          <w:sz w:val="28"/>
          <w:szCs w:val="28"/>
          <w:lang w:val="en-US" w:eastAsia="zh-Hans"/>
        </w:rPr>
        <w:t>日晚圆满闭幕</w:t>
      </w:r>
      <w:r>
        <w:rPr>
          <w:rFonts w:hint="eastAsia" w:ascii="仿宋" w:hAnsi="仿宋" w:eastAsia="仿宋" w:cs="仿宋"/>
          <w:sz w:val="28"/>
          <w:szCs w:val="28"/>
          <w:lang w:eastAsia="zh-Hans"/>
        </w:rPr>
        <w:t>。</w:t>
      </w:r>
      <w:r>
        <w:rPr>
          <w:rFonts w:hint="eastAsia" w:ascii="仿宋" w:hAnsi="仿宋" w:eastAsia="仿宋" w:cs="仿宋"/>
          <w:sz w:val="28"/>
          <w:szCs w:val="28"/>
        </w:rPr>
        <w:t>中华人民共和国香港特别行政区行政长官李家超、中华人民共和国外交部部长</w:t>
      </w:r>
      <w:r>
        <w:rPr>
          <w:rFonts w:hint="eastAsia" w:ascii="仿宋" w:hAnsi="仿宋" w:eastAsia="仿宋" w:cs="仿宋"/>
          <w:sz w:val="28"/>
          <w:szCs w:val="28"/>
          <w:lang w:val="en-US" w:eastAsia="zh-Hans"/>
        </w:rPr>
        <w:t>助理华春莹</w:t>
      </w:r>
      <w:r>
        <w:rPr>
          <w:rFonts w:hint="eastAsia" w:ascii="仿宋" w:hAnsi="仿宋" w:eastAsia="仿宋" w:cs="仿宋"/>
          <w:sz w:val="28"/>
          <w:szCs w:val="28"/>
          <w:lang w:eastAsia="zh-Hans"/>
        </w:rPr>
        <w:t>、</w:t>
      </w:r>
      <w:r>
        <w:rPr>
          <w:rFonts w:hint="eastAsia" w:ascii="仿宋" w:hAnsi="仿宋" w:eastAsia="仿宋" w:cs="仿宋"/>
          <w:sz w:val="28"/>
          <w:szCs w:val="28"/>
        </w:rPr>
        <w:t>外交部</w:t>
      </w:r>
      <w:r>
        <w:rPr>
          <w:rFonts w:hint="eastAsia" w:ascii="仿宋" w:hAnsi="仿宋" w:eastAsia="仿宋" w:cs="仿宋"/>
          <w:sz w:val="28"/>
          <w:szCs w:val="28"/>
          <w:lang w:val="en-US" w:eastAsia="zh-Hans"/>
        </w:rPr>
        <w:t>驻香港</w:t>
      </w:r>
      <w:r>
        <w:rPr>
          <w:rFonts w:hint="eastAsia" w:ascii="仿宋" w:hAnsi="仿宋" w:eastAsia="仿宋" w:cs="仿宋"/>
          <w:sz w:val="28"/>
          <w:szCs w:val="28"/>
        </w:rPr>
        <w:t>特别行政区</w:t>
      </w:r>
      <w:r>
        <w:rPr>
          <w:rFonts w:hint="eastAsia" w:ascii="仿宋" w:hAnsi="仿宋" w:eastAsia="仿宋" w:cs="仿宋"/>
          <w:sz w:val="28"/>
          <w:szCs w:val="28"/>
          <w:lang w:val="en-US" w:eastAsia="zh-Hans"/>
        </w:rPr>
        <w:t>特派员公署署理特派员潘云东</w:t>
      </w:r>
      <w:r>
        <w:rPr>
          <w:rFonts w:hint="eastAsia" w:ascii="仿宋" w:hAnsi="仿宋" w:eastAsia="仿宋" w:cs="仿宋"/>
          <w:sz w:val="28"/>
          <w:szCs w:val="28"/>
          <w:lang w:eastAsia="zh-Hans"/>
        </w:rPr>
        <w:t>、</w:t>
      </w:r>
      <w:r>
        <w:rPr>
          <w:rFonts w:hint="eastAsia" w:ascii="仿宋" w:hAnsi="仿宋" w:eastAsia="仿宋" w:cs="仿宋"/>
          <w:sz w:val="28"/>
          <w:szCs w:val="28"/>
          <w:lang w:val="en-US" w:eastAsia="zh-CN"/>
        </w:rPr>
        <w:t>香港特区终审法院首席法官张举能、香港特区立法会主席梁君彦</w:t>
      </w:r>
      <w:r>
        <w:rPr>
          <w:rFonts w:hint="eastAsia" w:ascii="仿宋" w:hAnsi="仿宋" w:eastAsia="仿宋" w:cs="仿宋"/>
          <w:sz w:val="28"/>
          <w:szCs w:val="28"/>
          <w:lang w:eastAsia="zh-CN"/>
        </w:rPr>
        <w:t>、</w:t>
      </w:r>
      <w:r>
        <w:rPr>
          <w:rFonts w:hint="eastAsia" w:ascii="仿宋" w:hAnsi="仿宋" w:eastAsia="仿宋" w:cs="仿宋"/>
          <w:sz w:val="28"/>
          <w:szCs w:val="28"/>
        </w:rPr>
        <w:t>香港特区律政司司长林定国、香港大学校长</w:t>
      </w:r>
      <w:r>
        <w:rPr>
          <w:rFonts w:hint="eastAsia" w:ascii="仿宋" w:hAnsi="仿宋" w:eastAsia="仿宋" w:cs="仿宋"/>
          <w:sz w:val="28"/>
          <w:szCs w:val="28"/>
          <w:lang w:val="en-US" w:eastAsia="zh-Hans"/>
        </w:rPr>
        <w:t>张翔</w:t>
      </w:r>
      <w:r>
        <w:rPr>
          <w:rFonts w:hint="eastAsia" w:ascii="仿宋" w:hAnsi="仿宋" w:eastAsia="仿宋" w:cs="仿宋"/>
          <w:sz w:val="28"/>
          <w:szCs w:val="28"/>
          <w:lang w:val="en-US" w:eastAsia="zh-CN"/>
        </w:rPr>
        <w:t>、海牙国际私法会议秘书长贝纳斯科尼</w:t>
      </w:r>
      <w:r>
        <w:rPr>
          <w:rFonts w:hint="default" w:ascii="仿宋" w:hAnsi="仿宋" w:eastAsia="仿宋" w:cs="仿宋"/>
          <w:sz w:val="28"/>
          <w:szCs w:val="28"/>
          <w:lang w:eastAsia="zh-CN"/>
        </w:rPr>
        <w:t>（Christophe Bernasconi）</w:t>
      </w:r>
      <w:r>
        <w:rPr>
          <w:rFonts w:hint="eastAsia" w:ascii="仿宋" w:hAnsi="仿宋" w:eastAsia="仿宋" w:cs="仿宋"/>
          <w:sz w:val="28"/>
          <w:szCs w:val="28"/>
          <w:lang w:val="en-US" w:eastAsia="zh-CN"/>
        </w:rPr>
        <w:t>等贵宾</w:t>
      </w:r>
      <w:r>
        <w:rPr>
          <w:rFonts w:hint="eastAsia" w:ascii="仿宋" w:hAnsi="仿宋" w:eastAsia="仿宋" w:cs="仿宋"/>
          <w:sz w:val="28"/>
          <w:szCs w:val="28"/>
          <w:lang w:val="en-US" w:eastAsia="zh-Hans"/>
        </w:rPr>
        <w:t>出席亚太周并致辞</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为香港法治投下信任票</w:t>
      </w:r>
      <w:r>
        <w:rPr>
          <w:rFonts w:hint="eastAsia" w:ascii="仿宋" w:hAnsi="仿宋" w:eastAsia="仿宋" w:cs="仿宋"/>
          <w:sz w:val="28"/>
          <w:szCs w:val="28"/>
        </w:rPr>
        <w:t>。</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Hans"/>
        </w:rPr>
        <w:t>此次国际法学盛会主题为</w:t>
      </w:r>
      <w:r>
        <w:rPr>
          <w:rFonts w:hint="eastAsia" w:ascii="仿宋" w:hAnsi="仿宋" w:eastAsia="仿宋" w:cs="仿宋"/>
          <w:sz w:val="28"/>
          <w:szCs w:val="28"/>
        </w:rPr>
        <w:t>“司法公正与可持续发展之路：HCCH在互联互通世界中的影响力”</w:t>
      </w:r>
      <w:r>
        <w:rPr>
          <w:rFonts w:hint="eastAsia" w:ascii="仿宋" w:hAnsi="仿宋" w:eastAsia="仿宋" w:cs="仿宋"/>
          <w:sz w:val="28"/>
          <w:szCs w:val="28"/>
          <w:lang w:eastAsia="zh-Hans"/>
        </w:rPr>
        <w:t>，</w:t>
      </w:r>
      <w:r>
        <w:rPr>
          <w:rFonts w:hint="eastAsia" w:ascii="仿宋" w:hAnsi="仿宋" w:eastAsia="仿宋" w:cs="仿宋"/>
          <w:sz w:val="28"/>
          <w:szCs w:val="28"/>
          <w:lang w:val="en-US" w:eastAsia="zh-Hans"/>
        </w:rPr>
        <w:t>吸引了来自全球各地的</w:t>
      </w:r>
      <w:r>
        <w:rPr>
          <w:rFonts w:hint="eastAsia" w:ascii="仿宋" w:hAnsi="仿宋" w:eastAsia="仿宋" w:cs="仿宋"/>
          <w:sz w:val="28"/>
          <w:szCs w:val="28"/>
          <w:lang w:val="en-US" w:eastAsia="zh-CN"/>
        </w:rPr>
        <w:t>三百余</w:t>
      </w:r>
      <w:r>
        <w:rPr>
          <w:rFonts w:hint="eastAsia" w:ascii="仿宋" w:hAnsi="仿宋" w:eastAsia="仿宋" w:cs="仿宋"/>
          <w:sz w:val="28"/>
          <w:szCs w:val="28"/>
        </w:rPr>
        <w:t>名政府官员、</w:t>
      </w:r>
      <w:r>
        <w:rPr>
          <w:rFonts w:hint="eastAsia" w:ascii="仿宋" w:hAnsi="仿宋" w:eastAsia="仿宋" w:cs="仿宋"/>
          <w:sz w:val="28"/>
          <w:szCs w:val="28"/>
          <w:lang w:val="en-US" w:eastAsia="zh-Hans"/>
        </w:rPr>
        <w:t>外交</w:t>
      </w:r>
      <w:r>
        <w:rPr>
          <w:rFonts w:hint="eastAsia" w:ascii="仿宋" w:hAnsi="仿宋" w:eastAsia="仿宋" w:cs="仿宋"/>
          <w:sz w:val="28"/>
          <w:szCs w:val="28"/>
          <w:lang w:val="en-US" w:eastAsia="zh-CN"/>
        </w:rPr>
        <w:t>人员</w:t>
      </w:r>
      <w:r>
        <w:rPr>
          <w:rFonts w:hint="eastAsia" w:ascii="仿宋" w:hAnsi="仿宋" w:eastAsia="仿宋" w:cs="仿宋"/>
          <w:sz w:val="28"/>
          <w:szCs w:val="28"/>
        </w:rPr>
        <w:t>、</w:t>
      </w:r>
      <w:r>
        <w:rPr>
          <w:rFonts w:hint="eastAsia" w:ascii="仿宋" w:hAnsi="仿宋" w:eastAsia="仿宋" w:cs="仿宋"/>
          <w:sz w:val="28"/>
          <w:szCs w:val="28"/>
          <w:lang w:val="en-US" w:eastAsia="zh-Hans"/>
        </w:rPr>
        <w:t>专家</w:t>
      </w:r>
      <w:r>
        <w:rPr>
          <w:rFonts w:hint="eastAsia" w:ascii="仿宋" w:hAnsi="仿宋" w:eastAsia="仿宋" w:cs="仿宋"/>
          <w:sz w:val="28"/>
          <w:szCs w:val="28"/>
        </w:rPr>
        <w:t>学者、法律</w:t>
      </w:r>
      <w:r>
        <w:rPr>
          <w:rFonts w:hint="eastAsia" w:ascii="仿宋" w:hAnsi="仿宋" w:eastAsia="仿宋" w:cs="仿宋"/>
          <w:sz w:val="28"/>
          <w:szCs w:val="28"/>
          <w:lang w:val="en-US" w:eastAsia="zh-Hans"/>
        </w:rPr>
        <w:t>从业者与持份者</w:t>
      </w:r>
      <w:r>
        <w:rPr>
          <w:rFonts w:hint="eastAsia" w:ascii="仿宋" w:hAnsi="仿宋" w:eastAsia="仿宋" w:cs="仿宋"/>
          <w:sz w:val="28"/>
          <w:szCs w:val="28"/>
        </w:rPr>
        <w:t>代表</w:t>
      </w:r>
      <w:r>
        <w:rPr>
          <w:rFonts w:hint="eastAsia" w:ascii="仿宋" w:hAnsi="仿宋" w:eastAsia="仿宋" w:cs="仿宋"/>
          <w:sz w:val="28"/>
          <w:szCs w:val="28"/>
          <w:lang w:val="en-US" w:eastAsia="zh-Hans"/>
        </w:rPr>
        <w:t>现场参加</w:t>
      </w:r>
      <w:r>
        <w:rPr>
          <w:rFonts w:hint="eastAsia" w:ascii="仿宋" w:hAnsi="仿宋" w:eastAsia="仿宋" w:cs="仿宋"/>
          <w:sz w:val="28"/>
          <w:szCs w:val="28"/>
        </w:rPr>
        <w:t>。</w:t>
      </w:r>
      <w:r>
        <w:rPr>
          <w:rFonts w:hint="eastAsia" w:ascii="仿宋" w:hAnsi="仿宋" w:eastAsia="仿宋" w:cs="仿宋"/>
          <w:sz w:val="28"/>
          <w:szCs w:val="28"/>
          <w:lang w:val="en-US" w:eastAsia="zh-CN"/>
        </w:rPr>
        <w:t>线上参与人数超过千人。</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Hans"/>
        </w:rPr>
        <w:t>李家超在致辞中表示</w:t>
      </w:r>
      <w:r>
        <w:rPr>
          <w:rFonts w:hint="eastAsia" w:ascii="仿宋" w:hAnsi="仿宋" w:eastAsia="仿宋" w:cs="仿宋"/>
          <w:sz w:val="28"/>
          <w:szCs w:val="28"/>
          <w:lang w:eastAsia="zh-Hans"/>
        </w:rPr>
        <w:t>，本次亚太周是香港疫情后首次</w:t>
      </w:r>
      <w:r>
        <w:rPr>
          <w:rFonts w:hint="eastAsia" w:ascii="仿宋" w:hAnsi="仿宋" w:eastAsia="仿宋" w:cs="仿宋"/>
          <w:sz w:val="28"/>
          <w:szCs w:val="28"/>
          <w:lang w:val="en-US" w:eastAsia="zh-CN"/>
        </w:rPr>
        <w:t>现场</w:t>
      </w:r>
      <w:r>
        <w:rPr>
          <w:rFonts w:hint="eastAsia" w:ascii="仿宋" w:hAnsi="仿宋" w:eastAsia="仿宋" w:cs="仿宋"/>
          <w:sz w:val="28"/>
          <w:szCs w:val="28"/>
          <w:lang w:eastAsia="zh-Hans"/>
        </w:rPr>
        <w:t>举办如此</w:t>
      </w:r>
      <w:r>
        <w:rPr>
          <w:rFonts w:hint="eastAsia" w:ascii="仿宋" w:hAnsi="仿宋" w:eastAsia="仿宋" w:cs="仿宋"/>
          <w:sz w:val="28"/>
          <w:szCs w:val="28"/>
          <w:lang w:val="en-US" w:eastAsia="zh-CN"/>
        </w:rPr>
        <w:t>大</w:t>
      </w:r>
      <w:r>
        <w:rPr>
          <w:rFonts w:hint="eastAsia" w:ascii="仿宋" w:hAnsi="仿宋" w:eastAsia="仿宋" w:cs="仿宋"/>
          <w:sz w:val="28"/>
          <w:szCs w:val="28"/>
          <w:lang w:eastAsia="zh-Hans"/>
        </w:rPr>
        <w:t>规模的法律</w:t>
      </w:r>
      <w:r>
        <w:rPr>
          <w:rFonts w:hint="eastAsia" w:ascii="仿宋" w:hAnsi="仿宋" w:eastAsia="仿宋" w:cs="仿宋"/>
          <w:sz w:val="28"/>
          <w:szCs w:val="28"/>
          <w:lang w:val="en-US" w:eastAsia="zh-CN"/>
        </w:rPr>
        <w:t>专业</w:t>
      </w:r>
      <w:r>
        <w:rPr>
          <w:rFonts w:hint="eastAsia" w:ascii="仿宋" w:hAnsi="仿宋" w:eastAsia="仿宋" w:cs="仿宋"/>
          <w:sz w:val="28"/>
          <w:szCs w:val="28"/>
          <w:lang w:eastAsia="zh-Hans"/>
        </w:rPr>
        <w:t>会议</w:t>
      </w:r>
      <w:r>
        <w:rPr>
          <w:rFonts w:hint="eastAsia" w:ascii="仿宋" w:hAnsi="仿宋" w:eastAsia="仿宋" w:cs="仿宋"/>
          <w:sz w:val="28"/>
          <w:szCs w:val="28"/>
          <w:lang w:eastAsia="zh-CN"/>
        </w:rPr>
        <w:t>。</w:t>
      </w:r>
      <w:r>
        <w:rPr>
          <w:rFonts w:hint="eastAsia" w:ascii="仿宋" w:hAnsi="仿宋" w:eastAsia="仿宋" w:cs="仿宋"/>
          <w:sz w:val="28"/>
          <w:szCs w:val="28"/>
        </w:rPr>
        <w:t>“一国两制”下</w:t>
      </w:r>
      <w:r>
        <w:rPr>
          <w:rFonts w:hint="eastAsia" w:ascii="仿宋" w:hAnsi="仿宋" w:eastAsia="仿宋" w:cs="仿宋"/>
          <w:sz w:val="28"/>
          <w:szCs w:val="28"/>
          <w:lang w:val="en-US" w:eastAsia="zh-CN"/>
        </w:rPr>
        <w:t>的</w:t>
      </w:r>
      <w:r>
        <w:rPr>
          <w:rFonts w:hint="eastAsia" w:ascii="仿宋" w:hAnsi="仿宋" w:eastAsia="仿宋" w:cs="仿宋"/>
          <w:sz w:val="28"/>
          <w:szCs w:val="28"/>
        </w:rPr>
        <w:t>香港</w:t>
      </w:r>
      <w:r>
        <w:rPr>
          <w:rFonts w:hint="eastAsia" w:ascii="仿宋" w:hAnsi="仿宋" w:eastAsia="仿宋" w:cs="仿宋"/>
          <w:sz w:val="28"/>
          <w:szCs w:val="28"/>
          <w:lang w:eastAsia="zh-CN"/>
        </w:rPr>
        <w:t>，</w:t>
      </w:r>
      <w:r>
        <w:rPr>
          <w:rFonts w:hint="eastAsia" w:ascii="仿宋" w:hAnsi="仿宋" w:eastAsia="仿宋" w:cs="仿宋"/>
          <w:sz w:val="28"/>
          <w:szCs w:val="28"/>
        </w:rPr>
        <w:t>拥有健全且被国际公认的法律体系，香港的司法公正和法治精神让香港当之无愧成为国际金融、贸易、航运和法律服务中心，同时香港也是连接国家与世界其他地区的桥梁。</w:t>
      </w:r>
      <w:r>
        <w:rPr>
          <w:rFonts w:hint="eastAsia" w:ascii="仿宋" w:hAnsi="仿宋" w:eastAsia="仿宋" w:cs="仿宋"/>
          <w:sz w:val="28"/>
          <w:szCs w:val="28"/>
          <w:lang w:val="en-US" w:eastAsia="zh-CN"/>
        </w:rPr>
        <w:t>香港建成</w:t>
      </w:r>
      <w:r>
        <w:rPr>
          <w:rFonts w:hint="eastAsia" w:ascii="仿宋" w:hAnsi="仿宋" w:eastAsia="仿宋" w:cs="仿宋"/>
          <w:sz w:val="28"/>
          <w:szCs w:val="28"/>
        </w:rPr>
        <w:t>国际法律中心</w:t>
      </w:r>
      <w:r>
        <w:rPr>
          <w:rFonts w:hint="eastAsia" w:ascii="仿宋" w:hAnsi="仿宋" w:eastAsia="仿宋" w:cs="仿宋"/>
          <w:sz w:val="28"/>
          <w:szCs w:val="28"/>
          <w:lang w:val="en-US" w:eastAsia="zh-CN"/>
        </w:rPr>
        <w:t>，</w:t>
      </w:r>
      <w:r>
        <w:rPr>
          <w:rFonts w:hint="eastAsia" w:ascii="仿宋" w:hAnsi="仿宋" w:eastAsia="仿宋" w:cs="仿宋"/>
          <w:sz w:val="28"/>
          <w:szCs w:val="28"/>
        </w:rPr>
        <w:t>对大湾区</w:t>
      </w:r>
      <w:r>
        <w:rPr>
          <w:rFonts w:hint="eastAsia" w:ascii="仿宋" w:hAnsi="仿宋" w:eastAsia="仿宋" w:cs="仿宋"/>
          <w:sz w:val="28"/>
          <w:szCs w:val="28"/>
          <w:lang w:val="en-US" w:eastAsia="zh-CN"/>
        </w:rPr>
        <w:t>在</w:t>
      </w:r>
      <w:r>
        <w:rPr>
          <w:rFonts w:hint="eastAsia" w:ascii="仿宋" w:hAnsi="仿宋" w:eastAsia="仿宋" w:cs="仿宋"/>
          <w:sz w:val="28"/>
          <w:szCs w:val="28"/>
        </w:rPr>
        <w:t>全球</w:t>
      </w:r>
      <w:r>
        <w:rPr>
          <w:rFonts w:hint="eastAsia" w:ascii="仿宋" w:hAnsi="仿宋" w:eastAsia="仿宋" w:cs="仿宋"/>
          <w:sz w:val="28"/>
          <w:szCs w:val="28"/>
          <w:lang w:val="en-US" w:eastAsia="zh-CN"/>
        </w:rPr>
        <w:t>范围内引领科技创新</w:t>
      </w:r>
      <w:r>
        <w:rPr>
          <w:rFonts w:hint="eastAsia" w:ascii="仿宋" w:hAnsi="仿宋" w:eastAsia="仿宋" w:cs="仿宋"/>
          <w:sz w:val="28"/>
          <w:szCs w:val="28"/>
        </w:rPr>
        <w:t>尤为重要。香港设有亚太</w:t>
      </w:r>
      <w:r>
        <w:rPr>
          <w:rFonts w:hint="eastAsia" w:ascii="仿宋" w:hAnsi="仿宋" w:eastAsia="仿宋" w:cs="仿宋"/>
          <w:sz w:val="28"/>
          <w:szCs w:val="28"/>
          <w:lang w:val="en-US" w:eastAsia="zh-CN"/>
        </w:rPr>
        <w:t>区域</w:t>
      </w:r>
      <w:r>
        <w:rPr>
          <w:rFonts w:hint="eastAsia" w:ascii="仿宋" w:hAnsi="仿宋" w:eastAsia="仿宋" w:cs="仿宋"/>
          <w:sz w:val="28"/>
          <w:szCs w:val="28"/>
        </w:rPr>
        <w:t>唯一的HCCH区域办事处</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特区政府非常自豪，并将继续支持HCCH有关工作。</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Hans"/>
        </w:rPr>
        <w:t>华春莹在致辞中</w:t>
      </w:r>
      <w:r>
        <w:rPr>
          <w:rFonts w:hint="eastAsia" w:ascii="仿宋" w:hAnsi="仿宋" w:eastAsia="仿宋" w:cs="仿宋"/>
          <w:sz w:val="28"/>
          <w:szCs w:val="28"/>
          <w:lang w:val="en-US" w:eastAsia="zh-CN"/>
        </w:rPr>
        <w:t>指出，促进互联互通是“一带一路”与HCCH的共同目标，中国也从HCCH的丰硕成果汲取营养，助力推动中国民商事法律发展。亚太区域办事处是中国与HCCH共赢的有力例证。并提出三点建议：一、因应世界大势，完善国际规则；二，坚持遵信守诺，提升履约效果；三、加强交流合作，促进包容互鉴。</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华春莹高度赞扬“一国两制”在港实践取得了举世公认的成功，香港新宪制融合了普通法与内地成文法的优长，融汇了东方与西方的法律文化传统，形成了香港独特法律优势，成为连接中华法系与世界各大法系，以及各国法治文明的桥梁和纽带。她期盼香港法律界同仁擦亮香港“法治”金漆招牌，建设好“亚太区国际法律及解决争议服务中心”，在国际金融、航运、贸易中心之外，为香港增添“法律中心”新桂冠。</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林定国在致辞中指出，</w:t>
      </w:r>
      <w:r>
        <w:rPr>
          <w:rFonts w:hint="eastAsia" w:ascii="仿宋" w:hAnsi="仿宋" w:eastAsia="仿宋" w:cs="仿宋"/>
          <w:sz w:val="28"/>
          <w:szCs w:val="28"/>
        </w:rPr>
        <w:t>本次亚太周主题与香港法治愿景不谋而合。</w:t>
      </w:r>
      <w:r>
        <w:rPr>
          <w:rFonts w:hint="eastAsia" w:ascii="仿宋" w:hAnsi="仿宋" w:eastAsia="仿宋" w:cs="仿宋"/>
          <w:sz w:val="28"/>
          <w:szCs w:val="28"/>
          <w:lang w:val="en-US" w:eastAsia="zh-CN"/>
        </w:rPr>
        <w:t>香港与HCCH始终保持密切关系，8项海牙公约现适用于香港，香港自1997年起派专家作为中国代表团成员参会，2020年与HCCH签订了借调香港法律专业人员的备忘录。香港律政司未来将继续与HCCH紧密合作。</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rPr>
        <w:t>张翔感谢HCCH选择港</w:t>
      </w:r>
      <w:r>
        <w:rPr>
          <w:rFonts w:hint="eastAsia" w:ascii="仿宋" w:hAnsi="仿宋" w:eastAsia="仿宋" w:cs="仿宋"/>
          <w:sz w:val="28"/>
          <w:szCs w:val="28"/>
          <w:lang w:val="en-US" w:eastAsia="zh-CN"/>
        </w:rPr>
        <w:t>大</w:t>
      </w:r>
      <w:r>
        <w:rPr>
          <w:rFonts w:hint="eastAsia" w:ascii="仿宋" w:hAnsi="仿宋" w:eastAsia="仿宋" w:cs="仿宋"/>
          <w:sz w:val="28"/>
          <w:szCs w:val="28"/>
        </w:rPr>
        <w:t>举办亚太周，</w:t>
      </w:r>
      <w:r>
        <w:rPr>
          <w:rFonts w:hint="eastAsia" w:ascii="仿宋" w:hAnsi="仿宋" w:eastAsia="仿宋" w:cs="仿宋"/>
          <w:sz w:val="28"/>
          <w:szCs w:val="28"/>
          <w:lang w:val="en-US" w:eastAsia="zh-CN"/>
        </w:rPr>
        <w:t>表示法治正是香港</w:t>
      </w:r>
      <w:r>
        <w:rPr>
          <w:rFonts w:hint="eastAsia" w:ascii="仿宋" w:hAnsi="仿宋" w:eastAsia="仿宋" w:cs="仿宋"/>
          <w:sz w:val="28"/>
          <w:szCs w:val="28"/>
        </w:rPr>
        <w:t>经济</w:t>
      </w:r>
      <w:r>
        <w:rPr>
          <w:rFonts w:hint="eastAsia" w:ascii="仿宋" w:hAnsi="仿宋" w:eastAsia="仿宋" w:cs="仿宋"/>
          <w:sz w:val="28"/>
          <w:szCs w:val="28"/>
          <w:lang w:val="en-US" w:eastAsia="zh-CN"/>
        </w:rPr>
        <w:t>运行</w:t>
      </w:r>
      <w:r>
        <w:rPr>
          <w:rFonts w:hint="eastAsia" w:ascii="仿宋" w:hAnsi="仿宋" w:eastAsia="仿宋" w:cs="仿宋"/>
          <w:sz w:val="28"/>
          <w:szCs w:val="28"/>
        </w:rPr>
        <w:t>和公共生活的</w:t>
      </w:r>
      <w:r>
        <w:rPr>
          <w:rFonts w:hint="eastAsia" w:ascii="仿宋" w:hAnsi="仿宋" w:eastAsia="仿宋" w:cs="仿宋"/>
          <w:sz w:val="28"/>
          <w:szCs w:val="28"/>
          <w:lang w:eastAsia="zh-CN"/>
        </w:rPr>
        <w:t>“</w:t>
      </w:r>
      <w:r>
        <w:rPr>
          <w:rFonts w:hint="eastAsia" w:ascii="仿宋" w:hAnsi="仿宋" w:eastAsia="仿宋" w:cs="仿宋"/>
          <w:sz w:val="28"/>
          <w:szCs w:val="28"/>
        </w:rPr>
        <w:t>DNA</w:t>
      </w:r>
      <w:r>
        <w:rPr>
          <w:rFonts w:hint="eastAsia" w:ascii="仿宋" w:hAnsi="仿宋" w:eastAsia="仿宋" w:cs="仿宋"/>
          <w:sz w:val="28"/>
          <w:szCs w:val="28"/>
          <w:lang w:eastAsia="zh-CN"/>
        </w:rPr>
        <w:t>”，</w:t>
      </w:r>
      <w:r>
        <w:rPr>
          <w:rFonts w:hint="eastAsia" w:ascii="仿宋" w:hAnsi="仿宋" w:eastAsia="仿宋" w:cs="仿宋"/>
          <w:sz w:val="28"/>
          <w:szCs w:val="28"/>
        </w:rPr>
        <w:t>赞扬“一国两制”成功实践。</w:t>
      </w:r>
      <w:r>
        <w:rPr>
          <w:rFonts w:hint="eastAsia" w:ascii="仿宋" w:hAnsi="仿宋" w:eastAsia="仿宋" w:cs="仿宋"/>
          <w:sz w:val="28"/>
          <w:szCs w:val="28"/>
          <w:lang w:val="en-US" w:eastAsia="zh-CN"/>
        </w:rPr>
        <w:t>香港大学</w:t>
      </w:r>
      <w:r>
        <w:rPr>
          <w:rFonts w:hint="eastAsia" w:ascii="仿宋" w:hAnsi="仿宋" w:eastAsia="仿宋" w:cs="仿宋"/>
          <w:sz w:val="28"/>
          <w:szCs w:val="28"/>
          <w:lang w:eastAsia="zh-CN"/>
        </w:rPr>
        <w:t>法律学院是香港历史最悠久、亚洲最好的学院之一，</w:t>
      </w:r>
      <w:r>
        <w:rPr>
          <w:rFonts w:hint="eastAsia" w:ascii="仿宋" w:hAnsi="仿宋" w:eastAsia="仿宋" w:cs="仿宋"/>
          <w:sz w:val="28"/>
          <w:szCs w:val="28"/>
          <w:lang w:val="en-US" w:eastAsia="zh-CN"/>
        </w:rPr>
        <w:t>未来</w:t>
      </w:r>
      <w:r>
        <w:rPr>
          <w:rFonts w:hint="eastAsia" w:ascii="仿宋" w:hAnsi="仿宋" w:eastAsia="仿宋" w:cs="仿宋"/>
          <w:sz w:val="28"/>
          <w:szCs w:val="28"/>
          <w:lang w:eastAsia="zh-CN"/>
        </w:rPr>
        <w:t>将培养更多具有全球视野和专业精神的涉外法律人才。</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HCCH秘书长贝纳斯科尼感谢所有嘉宾参会，并感谢中华人民共和国</w:t>
      </w:r>
      <w:r>
        <w:rPr>
          <w:rFonts w:hint="default" w:ascii="仿宋" w:hAnsi="仿宋" w:eastAsia="仿宋" w:cs="仿宋"/>
          <w:sz w:val="28"/>
          <w:szCs w:val="28"/>
          <w:lang w:eastAsia="zh-CN"/>
        </w:rPr>
        <w:t>，</w:t>
      </w:r>
      <w:r>
        <w:rPr>
          <w:rFonts w:hint="eastAsia" w:ascii="仿宋" w:hAnsi="仿宋" w:eastAsia="仿宋" w:cs="仿宋"/>
          <w:sz w:val="28"/>
          <w:szCs w:val="28"/>
          <w:lang w:val="en-US" w:eastAsia="zh-CN"/>
        </w:rPr>
        <w:t>特别是香港特区律政司和香港大学法律学院的大力支持。秘书长对亚太区域办事处的精心筹备表示高度嘉许，盛赞办事处</w:t>
      </w:r>
      <w:r>
        <w:rPr>
          <w:rFonts w:hint="eastAsia" w:ascii="仿宋" w:hAnsi="仿宋" w:eastAsia="仿宋" w:cs="仿宋"/>
          <w:sz w:val="28"/>
          <w:szCs w:val="28"/>
          <w:lang w:val="en-US" w:eastAsia="zh-Hans"/>
        </w:rPr>
        <w:t>在中国中央政府与香港特区政府支持下</w:t>
      </w:r>
      <w:r>
        <w:rPr>
          <w:rFonts w:hint="eastAsia" w:ascii="仿宋" w:hAnsi="仿宋" w:eastAsia="仿宋" w:cs="仿宋"/>
          <w:sz w:val="28"/>
          <w:szCs w:val="28"/>
          <w:lang w:val="en-US" w:eastAsia="zh-CN"/>
        </w:rPr>
        <w:t>对推广海牙公约做出重大贡献。并表示在包括区域办事处在内的全员共同努力下，截至今年已有超过一千条海牙公约在各缔约方生效，真正让HCCH成为了一个值得信赖、兼容并包的多边主义对话论坛。</w:t>
      </w:r>
    </w:p>
    <w:p>
      <w:pPr>
        <w:ind w:firstLine="420" w:firstLineChars="0"/>
        <w:rPr>
          <w:rFonts w:hint="eastAsia" w:ascii="仿宋" w:hAnsi="仿宋" w:eastAsia="仿宋" w:cs="仿宋"/>
          <w:sz w:val="28"/>
          <w:szCs w:val="28"/>
        </w:rPr>
      </w:pPr>
      <w:r>
        <w:rPr>
          <w:rFonts w:hint="eastAsia" w:ascii="仿宋" w:hAnsi="仿宋" w:eastAsia="仿宋" w:cs="仿宋"/>
          <w:sz w:val="28"/>
          <w:szCs w:val="28"/>
          <w:lang w:val="en-US" w:eastAsia="zh-Hans"/>
        </w:rPr>
        <w:t>此次亚太周</w:t>
      </w:r>
      <w:r>
        <w:rPr>
          <w:rFonts w:hint="eastAsia" w:ascii="仿宋" w:hAnsi="仿宋" w:eastAsia="仿宋" w:cs="仿宋"/>
          <w:sz w:val="28"/>
          <w:szCs w:val="28"/>
        </w:rPr>
        <w:t>在香港特区政府律政司和香港大学法律学院的慷慨支持下，由海牙国际私法会议</w:t>
      </w:r>
      <w:r>
        <w:rPr>
          <w:rFonts w:hint="eastAsia" w:ascii="仿宋" w:hAnsi="仿宋" w:eastAsia="仿宋" w:cs="仿宋"/>
          <w:sz w:val="28"/>
          <w:szCs w:val="28"/>
          <w:lang w:val="en-US" w:eastAsia="zh-CN"/>
        </w:rPr>
        <w:t>主办，</w:t>
      </w:r>
      <w:r>
        <w:rPr>
          <w:rFonts w:hint="eastAsia" w:ascii="仿宋" w:hAnsi="仿宋" w:eastAsia="仿宋" w:cs="仿宋"/>
          <w:sz w:val="28"/>
          <w:szCs w:val="28"/>
        </w:rPr>
        <w:t>海牙国际私法会议亚太区域办事处（</w:t>
      </w:r>
      <w:r>
        <w:rPr>
          <w:rFonts w:hint="eastAsia" w:ascii="仿宋" w:hAnsi="仿宋" w:eastAsia="仿宋" w:cs="仿宋"/>
          <w:sz w:val="28"/>
          <w:szCs w:val="28"/>
          <w:lang w:val="en-US" w:eastAsia="zh-Hans"/>
        </w:rPr>
        <w:t>ROAP</w:t>
      </w:r>
      <w:r>
        <w:rPr>
          <w:rFonts w:hint="eastAsia" w:ascii="仿宋" w:hAnsi="仿宋" w:eastAsia="仿宋" w:cs="仿宋"/>
          <w:sz w:val="28"/>
          <w:szCs w:val="28"/>
        </w:rPr>
        <w:t>）</w:t>
      </w:r>
      <w:r>
        <w:rPr>
          <w:rFonts w:hint="eastAsia" w:ascii="仿宋" w:hAnsi="仿宋" w:eastAsia="仿宋" w:cs="仿宋"/>
          <w:sz w:val="28"/>
          <w:szCs w:val="28"/>
          <w:lang w:val="en-US" w:eastAsia="zh-Hans"/>
        </w:rPr>
        <w:t>承办</w:t>
      </w:r>
      <w:r>
        <w:rPr>
          <w:rFonts w:hint="default" w:ascii="仿宋" w:hAnsi="仿宋" w:eastAsia="仿宋" w:cs="仿宋"/>
          <w:sz w:val="28"/>
          <w:szCs w:val="28"/>
          <w:lang w:eastAsia="zh-Hans"/>
        </w:rPr>
        <w:t>，会期为9月11日至9月14日</w:t>
      </w:r>
      <w:r>
        <w:rPr>
          <w:rFonts w:hint="eastAsia" w:ascii="仿宋" w:hAnsi="仿宋" w:eastAsia="仿宋" w:cs="仿宋"/>
          <w:sz w:val="28"/>
          <w:szCs w:val="28"/>
        </w:rPr>
        <w:t>。</w:t>
      </w:r>
      <w:r>
        <w:rPr>
          <w:rFonts w:hint="eastAsia" w:ascii="仿宋" w:hAnsi="仿宋" w:eastAsia="仿宋" w:cs="仿宋"/>
          <w:sz w:val="28"/>
          <w:szCs w:val="28"/>
          <w:lang w:val="en-US" w:eastAsia="zh-CN"/>
        </w:rPr>
        <w:t>HCCH目前在</w:t>
      </w:r>
      <w:r>
        <w:rPr>
          <w:rFonts w:hint="eastAsia" w:ascii="仿宋" w:hAnsi="仿宋" w:eastAsia="仿宋" w:cs="仿宋"/>
          <w:sz w:val="28"/>
          <w:szCs w:val="28"/>
          <w:lang w:val="en-US" w:eastAsia="zh-Hans"/>
        </w:rPr>
        <w:t>全球</w:t>
      </w:r>
      <w:r>
        <w:rPr>
          <w:rFonts w:hint="eastAsia" w:ascii="仿宋" w:hAnsi="仿宋" w:eastAsia="仿宋" w:cs="仿宋"/>
          <w:sz w:val="28"/>
          <w:szCs w:val="28"/>
          <w:lang w:val="en-US" w:eastAsia="zh-CN"/>
        </w:rPr>
        <w:t>设有两所区域办事处，亚太区域办事处设在香港，现任代表为</w:t>
      </w:r>
      <w:r>
        <w:rPr>
          <w:rFonts w:hint="eastAsia" w:ascii="仿宋" w:hAnsi="仿宋" w:eastAsia="仿宋" w:cs="仿宋"/>
          <w:sz w:val="28"/>
          <w:szCs w:val="28"/>
        </w:rPr>
        <w:t>香港大学法律学院</w:t>
      </w:r>
      <w:r>
        <w:rPr>
          <w:rFonts w:hint="eastAsia" w:ascii="仿宋" w:hAnsi="仿宋" w:eastAsia="仿宋" w:cs="仿宋"/>
          <w:sz w:val="28"/>
          <w:szCs w:val="28"/>
          <w:lang w:val="en-US" w:eastAsia="zh-CN"/>
        </w:rPr>
        <w:t>副院长赵云教授</w:t>
      </w:r>
      <w:r>
        <w:rPr>
          <w:rFonts w:hint="eastAsia" w:ascii="仿宋" w:hAnsi="仿宋" w:eastAsia="仿宋" w:cs="仿宋"/>
          <w:sz w:val="28"/>
          <w:szCs w:val="28"/>
        </w:rPr>
        <w:t>。如欲获取</w:t>
      </w:r>
      <w:r>
        <w:rPr>
          <w:rFonts w:hint="eastAsia" w:ascii="仿宋" w:hAnsi="仿宋" w:eastAsia="仿宋" w:cs="仿宋"/>
          <w:sz w:val="28"/>
          <w:szCs w:val="28"/>
          <w:lang w:val="en-US" w:eastAsia="zh-Hans"/>
        </w:rPr>
        <w:t>嘉宾演讲全文及</w:t>
      </w:r>
      <w:r>
        <w:rPr>
          <w:rFonts w:hint="eastAsia" w:ascii="仿宋" w:hAnsi="仿宋" w:eastAsia="仿宋" w:cs="仿宋"/>
          <w:sz w:val="28"/>
          <w:szCs w:val="28"/>
        </w:rPr>
        <w:t>更多有</w:t>
      </w:r>
      <w:r>
        <w:rPr>
          <w:rFonts w:hint="eastAsia" w:ascii="仿宋" w:hAnsi="仿宋" w:eastAsia="仿宋" w:cs="仿宋"/>
          <w:sz w:val="28"/>
          <w:szCs w:val="28"/>
          <w:lang w:val="en-US" w:eastAsia="zh-Hans"/>
        </w:rPr>
        <w:t>用</w:t>
      </w:r>
      <w:r>
        <w:rPr>
          <w:rFonts w:hint="eastAsia" w:ascii="仿宋" w:hAnsi="仿宋" w:eastAsia="仿宋" w:cs="仿宋"/>
          <w:sz w:val="28"/>
          <w:szCs w:val="28"/>
        </w:rPr>
        <w:t>资料，请浏览https://www.hcchapweek2023.org/</w:t>
      </w:r>
    </w:p>
    <w:p>
      <w:pPr>
        <w:rPr>
          <w:rFonts w:hint="eastAsia" w:ascii="仿宋" w:hAnsi="仿宋" w:eastAsia="仿宋" w:cs="仿宋"/>
          <w:sz w:val="28"/>
          <w:szCs w:val="28"/>
        </w:rPr>
      </w:pPr>
      <w:r>
        <w:rPr>
          <w:rFonts w:hint="eastAsia" w:ascii="仿宋" w:hAnsi="仿宋" w:eastAsia="仿宋" w:cs="仿宋"/>
          <w:sz w:val="28"/>
          <w:szCs w:val="28"/>
        </w:rPr>
        <w:br w:type="page"/>
      </w:r>
    </w:p>
    <w:p>
      <w:pP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715635" cy="3809365"/>
            <wp:effectExtent l="0" t="0" r="18415" b="635"/>
            <wp:docPr id="7" name="图片 7" descr="bc78e81d5829cca02f941995f386f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c78e81d5829cca02f941995f386f4b"/>
                    <pic:cNvPicPr>
                      <a:picLocks noChangeAspect="1"/>
                    </pic:cNvPicPr>
                  </pic:nvPicPr>
                  <pic:blipFill>
                    <a:blip r:embed="rId7"/>
                    <a:stretch>
                      <a:fillRect/>
                    </a:stretch>
                  </pic:blipFill>
                  <pic:spPr>
                    <a:xfrm>
                      <a:off x="0" y="0"/>
                      <a:ext cx="5715635" cy="3809365"/>
                    </a:xfrm>
                    <a:prstGeom prst="rect">
                      <a:avLst/>
                    </a:prstGeom>
                  </pic:spPr>
                </pic:pic>
              </a:graphicData>
            </a:graphic>
          </wp:inline>
        </w:drawing>
      </w:r>
      <w:r>
        <w:rPr>
          <w:rFonts w:hint="eastAsia" w:ascii="仿宋" w:hAnsi="仿宋" w:eastAsia="仿宋" w:cs="仿宋"/>
          <w:sz w:val="28"/>
          <w:szCs w:val="28"/>
        </w:rPr>
        <w:drawing>
          <wp:inline distT="0" distB="0" distL="114300" distR="114300">
            <wp:extent cx="5723890" cy="3816350"/>
            <wp:effectExtent l="0" t="0" r="10160" b="12700"/>
            <wp:docPr id="1" name="图片 1" descr="aaef41c2b45262d8dcb91014b1aae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aef41c2b45262d8dcb91014b1aaee3"/>
                    <pic:cNvPicPr>
                      <a:picLocks noChangeAspect="1"/>
                    </pic:cNvPicPr>
                  </pic:nvPicPr>
                  <pic:blipFill>
                    <a:blip r:embed="rId8"/>
                    <a:stretch>
                      <a:fillRect/>
                    </a:stretch>
                  </pic:blipFill>
                  <pic:spPr>
                    <a:xfrm>
                      <a:off x="0" y="0"/>
                      <a:ext cx="5723890" cy="3816350"/>
                    </a:xfrm>
                    <a:prstGeom prst="rect">
                      <a:avLst/>
                    </a:prstGeom>
                  </pic:spPr>
                </pic:pic>
              </a:graphicData>
            </a:graphic>
          </wp:inline>
        </w:drawing>
      </w:r>
    </w:p>
    <w:p>
      <w:pPr>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5723890" cy="3816350"/>
            <wp:effectExtent l="0" t="0" r="10160" b="12700"/>
            <wp:docPr id="4" name="图片 4" descr="07854f5c0b0c8834e8236e7780c6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7854f5c0b0c8834e8236e7780c6785"/>
                    <pic:cNvPicPr>
                      <a:picLocks noChangeAspect="1"/>
                    </pic:cNvPicPr>
                  </pic:nvPicPr>
                  <pic:blipFill>
                    <a:blip r:embed="rId9"/>
                    <a:stretch>
                      <a:fillRect/>
                    </a:stretch>
                  </pic:blipFill>
                  <pic:spPr>
                    <a:xfrm>
                      <a:off x="0" y="0"/>
                      <a:ext cx="5723890" cy="3816350"/>
                    </a:xfrm>
                    <a:prstGeom prst="rect">
                      <a:avLst/>
                    </a:prstGeom>
                  </pic:spPr>
                </pic:pic>
              </a:graphicData>
            </a:graphic>
          </wp:inline>
        </w:drawing>
      </w:r>
    </w:p>
    <w:p>
      <w:pPr>
        <w:rPr>
          <w:rFonts w:hint="default" w:ascii="仿宋" w:hAnsi="仿宋" w:eastAsia="仿宋" w:cs="仿宋"/>
          <w:sz w:val="28"/>
          <w:szCs w:val="28"/>
          <w:lang w:eastAsia="zh-CN"/>
        </w:rPr>
      </w:pPr>
      <w:r>
        <w:rPr>
          <w:rFonts w:hint="default" w:ascii="仿宋" w:hAnsi="仿宋" w:eastAsia="仿宋" w:cs="仿宋"/>
          <w:sz w:val="28"/>
          <w:szCs w:val="28"/>
          <w:lang w:eastAsia="zh-CN"/>
        </w:rPr>
        <w:drawing>
          <wp:inline distT="0" distB="0" distL="114300" distR="114300">
            <wp:extent cx="5730240" cy="3820160"/>
            <wp:effectExtent l="0" t="0" r="10160" b="15240"/>
            <wp:docPr id="2" name="图片 2" descr="WechatIMG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echatIMG85"/>
                    <pic:cNvPicPr>
                      <a:picLocks noChangeAspect="1"/>
                    </pic:cNvPicPr>
                  </pic:nvPicPr>
                  <pic:blipFill>
                    <a:blip r:embed="rId10"/>
                    <a:stretch>
                      <a:fillRect/>
                    </a:stretch>
                  </pic:blipFill>
                  <pic:spPr>
                    <a:xfrm>
                      <a:off x="0" y="0"/>
                      <a:ext cx="5730240" cy="3820160"/>
                    </a:xfrm>
                    <a:prstGeom prst="rect">
                      <a:avLst/>
                    </a:prstGeom>
                  </pic:spPr>
                </pic:pic>
              </a:graphicData>
            </a:graphic>
          </wp:inline>
        </w:drawing>
      </w:r>
      <w:r>
        <w:rPr>
          <w:rFonts w:hint="default" w:ascii="仿宋" w:hAnsi="仿宋" w:eastAsia="仿宋" w:cs="仿宋"/>
          <w:sz w:val="28"/>
          <w:szCs w:val="28"/>
          <w:lang w:eastAsia="zh-CN"/>
        </w:rPr>
        <w:drawing>
          <wp:inline distT="0" distB="0" distL="114300" distR="114300">
            <wp:extent cx="5725795" cy="3816985"/>
            <wp:effectExtent l="0" t="0" r="14605" b="18415"/>
            <wp:docPr id="3" name="图片 3" descr="WechatIMG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echatIMG86"/>
                    <pic:cNvPicPr>
                      <a:picLocks noChangeAspect="1"/>
                    </pic:cNvPicPr>
                  </pic:nvPicPr>
                  <pic:blipFill>
                    <a:blip r:embed="rId11"/>
                    <a:stretch>
                      <a:fillRect/>
                    </a:stretch>
                  </pic:blipFill>
                  <pic:spPr>
                    <a:xfrm>
                      <a:off x="0" y="0"/>
                      <a:ext cx="5725795" cy="3816985"/>
                    </a:xfrm>
                    <a:prstGeom prst="rect">
                      <a:avLst/>
                    </a:prstGeom>
                  </pic:spPr>
                </pic:pic>
              </a:graphicData>
            </a:graphic>
          </wp:inline>
        </w:drawing>
      </w:r>
    </w:p>
    <w:p>
      <w:pPr>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5720715" cy="3218815"/>
            <wp:effectExtent l="0" t="0" r="13335" b="635"/>
            <wp:docPr id="5" name="图片 5" descr="e602e5b2e168e84a8685955de405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602e5b2e168e84a8685955de405687"/>
                    <pic:cNvPicPr>
                      <a:picLocks noChangeAspect="1"/>
                    </pic:cNvPicPr>
                  </pic:nvPicPr>
                  <pic:blipFill>
                    <a:blip r:embed="rId12"/>
                    <a:stretch>
                      <a:fillRect/>
                    </a:stretch>
                  </pic:blipFill>
                  <pic:spPr>
                    <a:xfrm>
                      <a:off x="0" y="0"/>
                      <a:ext cx="5720715" cy="3218815"/>
                    </a:xfrm>
                    <a:prstGeom prst="rect">
                      <a:avLst/>
                    </a:prstGeom>
                  </pic:spPr>
                </pic:pic>
              </a:graphicData>
            </a:graphic>
          </wp:inline>
        </w:drawing>
      </w:r>
    </w:p>
    <w:p>
      <w:pPr>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5721350" cy="3815080"/>
            <wp:effectExtent l="0" t="0" r="12700" b="13970"/>
            <wp:docPr id="6" name="图片 6" descr="93094f794246b6cfd33338e49b535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3094f794246b6cfd33338e49b535d5"/>
                    <pic:cNvPicPr>
                      <a:picLocks noChangeAspect="1"/>
                    </pic:cNvPicPr>
                  </pic:nvPicPr>
                  <pic:blipFill>
                    <a:blip r:embed="rId13"/>
                    <a:stretch>
                      <a:fillRect/>
                    </a:stretch>
                  </pic:blipFill>
                  <pic:spPr>
                    <a:xfrm>
                      <a:off x="0" y="0"/>
                      <a:ext cx="5721350" cy="3815080"/>
                    </a:xfrm>
                    <a:prstGeom prst="rect">
                      <a:avLst/>
                    </a:prstGeom>
                  </pic:spPr>
                </pic:pic>
              </a:graphicData>
            </a:graphic>
          </wp:inline>
        </w:drawing>
      </w:r>
    </w:p>
    <w:sectPr>
      <w:footerReference r:id="rId5" w:type="default"/>
      <w:pgSz w:w="11906" w:h="16838"/>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SimSun">
    <w:altName w:val="宋体-简"/>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黑体-简"/>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宋体-简">
    <w:panose1 w:val="02010600040101010101"/>
    <w:charset w:val="86"/>
    <w:family w:val="auto"/>
    <w:pitch w:val="default"/>
    <w:sig w:usb0="00000000" w:usb1="00000000" w:usb2="00000000" w:usb3="00000000" w:csb0="00160000" w:csb1="00000000"/>
  </w:font>
  <w:font w:name="仿宋">
    <w:altName w:val="方正仿宋_GBK"/>
    <w:panose1 w:val="02010609060101010101"/>
    <w:charset w:val="86"/>
    <w:family w:val="auto"/>
    <w:pitch w:val="default"/>
    <w:sig w:usb0="00000000" w:usb1="00000000" w:usb2="00000016" w:usb3="00000000" w:csb0="00040001" w:csb1="00000000"/>
  </w:font>
  <w:font w:name="方正仿宋_GBK">
    <w:panose1 w:val="02000000000000000000"/>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 w:name="黑体-简">
    <w:panose1 w:val="02000000000000000000"/>
    <w:charset w:val="86"/>
    <w:family w:val="auto"/>
    <w:pitch w:val="default"/>
    <w:sig w:usb0="00000000" w:usb1="00000000" w:usb2="00000000" w:usb3="00000000" w:csb0="00160000" w:csb1="00000000"/>
  </w:font>
  <w:font w:name="arial">
    <w:panose1 w:val="020B0604020202020204"/>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hint="default" w:eastAsiaTheme="minorEastAsia"/>
        <w:lang w:val="en-US" w:eastAsia="zh-CN"/>
      </w:rPr>
    </w:pPr>
    <w:r>
      <w:rPr>
        <w:rFonts w:hint="eastAsia"/>
        <w:lang w:val="en-US" w:eastAsia="zh-CN"/>
      </w:rPr>
      <w:t>撰稿人：海牙国际私法会议亚太区域办事处 法律官员 高嵩</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JmZTZjMGU5MGY3NDQ4MzI5NDdmYmU1N2UzNmY5YzYifQ=="/>
  </w:docVars>
  <w:rsids>
    <w:rsidRoot w:val="FFF6FAC8"/>
    <w:rsid w:val="019558D5"/>
    <w:rsid w:val="03E5328D"/>
    <w:rsid w:val="08907C6B"/>
    <w:rsid w:val="09FB7366"/>
    <w:rsid w:val="10D80401"/>
    <w:rsid w:val="177787EA"/>
    <w:rsid w:val="206D3F96"/>
    <w:rsid w:val="24082954"/>
    <w:rsid w:val="24A24B56"/>
    <w:rsid w:val="2DF73B7B"/>
    <w:rsid w:val="3E265A58"/>
    <w:rsid w:val="45246A6A"/>
    <w:rsid w:val="455972A2"/>
    <w:rsid w:val="499279B0"/>
    <w:rsid w:val="49C128B7"/>
    <w:rsid w:val="54BA4B79"/>
    <w:rsid w:val="5BFF1D28"/>
    <w:rsid w:val="5EB6652D"/>
    <w:rsid w:val="5F2E7419"/>
    <w:rsid w:val="6ECF57A4"/>
    <w:rsid w:val="71150AC6"/>
    <w:rsid w:val="719E532A"/>
    <w:rsid w:val="724A7260"/>
    <w:rsid w:val="76A35191"/>
    <w:rsid w:val="7B799E43"/>
    <w:rsid w:val="7BF441AE"/>
    <w:rsid w:val="9B37E713"/>
    <w:rsid w:val="D08DA9D0"/>
    <w:rsid w:val="D60D6FFB"/>
    <w:rsid w:val="DDFD6685"/>
    <w:rsid w:val="FC03AF6F"/>
    <w:rsid w:val="FFF6FA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cs="Times New Roman" w:eastAsiaTheme="minorEastAsia"/>
      <w:kern w:val="2"/>
      <w:sz w:val="24"/>
      <w:szCs w:val="24"/>
      <w:lang w:val="en-US" w:eastAsia="zh-CN" w:bidi="ar-SA"/>
      <w14:ligatures w14:val="standardContextual"/>
    </w:rPr>
  </w:style>
  <w:style w:type="paragraph" w:styleId="2">
    <w:name w:val="heading 1"/>
    <w:basedOn w:val="1"/>
    <w:next w:val="1"/>
    <w:qFormat/>
    <w:uiPriority w:val="0"/>
    <w:pPr>
      <w:spacing w:before="0" w:beforeAutospacing="1" w:after="0" w:afterAutospacing="1"/>
      <w:jc w:val="left"/>
    </w:pPr>
    <w:rPr>
      <w:rFonts w:hint="eastAsia" w:ascii="SimSun" w:hAnsi="SimSun" w:eastAsia="SimSun" w:cs="SimSun"/>
      <w:b/>
      <w:bCs/>
      <w:kern w:val="44"/>
      <w:sz w:val="48"/>
      <w:szCs w:val="48"/>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SimSun" w:hAnsi="SimSun" w:eastAsia="SimSun" w:cs="SimSun"/>
      <w:b/>
      <w:bCs/>
      <w:kern w:val="0"/>
      <w:sz w:val="27"/>
      <w:szCs w:val="27"/>
      <w:lang w:val="en-US" w:eastAsia="zh-CN" w:bidi="ar"/>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8">
    <w:name w:val="Strong"/>
    <w:basedOn w:val="7"/>
    <w:qFormat/>
    <w:uiPriority w:val="0"/>
    <w:rPr>
      <w:b/>
    </w:rPr>
  </w:style>
  <w:style w:type="character" w:styleId="9">
    <w:name w:val="Emphasis"/>
    <w:basedOn w:val="7"/>
    <w:qFormat/>
    <w:uiPriority w:val="0"/>
    <w:rPr>
      <w:i/>
    </w:rPr>
  </w:style>
  <w:style w:type="character" w:styleId="10">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Office_5.2.1.7798_F1E327BC-269C-435d-A152-05C5408002CA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2023-09-13T00:48:00Z</dcterms:created>
  <dc:creator>ironfive</dc:creator>
  <cp:lastModifiedBy>ironfive</cp:lastModifiedBy>
  <dcterms:modified xsi:type="dcterms:W3CDTF">2023-09-15T00:00:53Z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2052-5.2.1.7798</vt:lpwstr>
  </property>
  <property fmtid="{D5CDD505-2E9C-101B-9397-08002B2CF9AE}" pid="3" name="ICV">
    <vt:lpwstr>C81B3253D7FD1329601C0365CD885D1C_43</vt:lpwstr>
  </property>
</Properties>
</file>